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82F8" w14:textId="77777777" w:rsidR="00394297" w:rsidRDefault="00394297"/>
    <w:p w14:paraId="0EFADB99" w14:textId="12F2365F" w:rsidR="00394297" w:rsidRDefault="00394297">
      <w:r w:rsidRPr="00394297">
        <w:t>A conferência buscará demonstrar a importância de uma formação exigente, tanto para a prática do futuro analista quanto para comprovar a eficácia da Psicanálise como terapia e como base para políticas públicas de Saúde Mental.</w:t>
      </w:r>
    </w:p>
    <w:sectPr w:rsidR="00394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97"/>
    <w:rsid w:val="00394297"/>
    <w:rsid w:val="00CB4CFE"/>
    <w:rsid w:val="00E4313B"/>
    <w:rsid w:val="00E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C2B3"/>
  <w15:chartTrackingRefBased/>
  <w15:docId w15:val="{0155D719-99ED-46D1-988F-0E3C1A9D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4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4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42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42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4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42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42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42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4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42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2</cp:revision>
  <dcterms:created xsi:type="dcterms:W3CDTF">2026-03-24T15:15:00Z</dcterms:created>
  <dcterms:modified xsi:type="dcterms:W3CDTF">2026-04-01T00:26:00Z</dcterms:modified>
</cp:coreProperties>
</file>